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838F" w14:textId="799E9909" w:rsidR="0036098B" w:rsidRPr="0036098B" w:rsidRDefault="0036098B">
      <w:pPr>
        <w:rPr>
          <w:b/>
          <w:bCs/>
        </w:rPr>
      </w:pPr>
      <w:r w:rsidRPr="0036098B">
        <w:rPr>
          <w:b/>
          <w:bCs/>
        </w:rPr>
        <w:t>Abstract:</w:t>
      </w:r>
      <w:r w:rsidR="00674AC8">
        <w:rPr>
          <w:b/>
          <w:bCs/>
        </w:rPr>
        <w:t xml:space="preserve">   </w:t>
      </w:r>
      <w:r w:rsidR="00674AC8">
        <w:t xml:space="preserve">Every business needs a website, but it’s not always easy to determine which costs of running one are deductible. Fortunately, there are guidelines and even IRS guidance to follow. This article discusses both </w:t>
      </w:r>
      <w:r w:rsidR="0044162C">
        <w:t xml:space="preserve">the </w:t>
      </w:r>
      <w:r w:rsidR="00674AC8">
        <w:t>hardware and software costs associated with a website.</w:t>
      </w:r>
    </w:p>
    <w:p w14:paraId="0151210A" w14:textId="270134F5" w:rsidR="0036098B" w:rsidRDefault="00567A1D">
      <w:r>
        <w:rPr>
          <w:b/>
          <w:bCs/>
          <w:sz w:val="28"/>
          <w:szCs w:val="24"/>
        </w:rPr>
        <w:t>Which business website costs are deductible?</w:t>
      </w:r>
    </w:p>
    <w:p w14:paraId="4EA60E32" w14:textId="6F34E0B3" w:rsidR="0036098B" w:rsidRDefault="0086634A" w:rsidP="0036098B">
      <w:r>
        <w:t>E</w:t>
      </w:r>
      <w:r w:rsidR="0036098B">
        <w:t xml:space="preserve">very business needs a website, but it’s not always easy to determine which costs of </w:t>
      </w:r>
      <w:r>
        <w:t xml:space="preserve">running one </w:t>
      </w:r>
      <w:r w:rsidR="0036098B">
        <w:t>are deductible.</w:t>
      </w:r>
      <w:r>
        <w:t xml:space="preserve"> </w:t>
      </w:r>
      <w:r w:rsidR="0036098B">
        <w:t>Fortunately, established rules that generally apply to the deductibility of more long-standing business costs</w:t>
      </w:r>
      <w:r w:rsidR="006430AD">
        <w:t xml:space="preserve"> provide business owners with a basic idea of how to anticipate and handle the tax impact of a website. A</w:t>
      </w:r>
      <w:r w:rsidR="0036098B">
        <w:t xml:space="preserve">nd </w:t>
      </w:r>
      <w:r w:rsidR="006430AD">
        <w:t xml:space="preserve">the </w:t>
      </w:r>
      <w:r w:rsidR="0036098B">
        <w:t xml:space="preserve">IRS </w:t>
      </w:r>
      <w:r w:rsidR="006430AD">
        <w:t xml:space="preserve">has issued </w:t>
      </w:r>
      <w:r w:rsidR="0036098B">
        <w:t>guidance that applies to software costs</w:t>
      </w:r>
      <w:r w:rsidR="006430AD">
        <w:t>.</w:t>
      </w:r>
    </w:p>
    <w:p w14:paraId="537B7665" w14:textId="13CD4505" w:rsidR="0036098B" w:rsidRPr="00FA02DD" w:rsidRDefault="0036098B" w:rsidP="0036098B">
      <w:pPr>
        <w:rPr>
          <w:b/>
          <w:bCs/>
        </w:rPr>
      </w:pPr>
      <w:r w:rsidRPr="00FA02DD">
        <w:rPr>
          <w:b/>
          <w:bCs/>
        </w:rPr>
        <w:t xml:space="preserve">Hardware </w:t>
      </w:r>
      <w:r w:rsidR="00FA02DD">
        <w:rPr>
          <w:b/>
          <w:bCs/>
        </w:rPr>
        <w:t>considerations</w:t>
      </w:r>
    </w:p>
    <w:p w14:paraId="4279DF8D" w14:textId="1D1BAC9B" w:rsidR="0036098B" w:rsidRDefault="00FA02DD" w:rsidP="0036098B">
      <w:r>
        <w:t xml:space="preserve">Hardware </w:t>
      </w:r>
      <w:r w:rsidR="0036098B">
        <w:t xml:space="preserve">costs </w:t>
      </w:r>
      <w:r>
        <w:t xml:space="preserve">generally </w:t>
      </w:r>
      <w:r w:rsidR="0036098B">
        <w:t xml:space="preserve">fall under the standard rules for depreciable equipment. Specifically, once </w:t>
      </w:r>
      <w:r w:rsidR="00C84286">
        <w:t xml:space="preserve">website-related </w:t>
      </w:r>
      <w:r w:rsidR="0036098B">
        <w:t>assets are up and running, you can deduct 100% of the cost in the first year they’re placed in service (before 2023). This favorable treatment is allowed under the 100% first-year bonus depreciation break.</w:t>
      </w:r>
    </w:p>
    <w:p w14:paraId="5881FC69" w14:textId="77777777" w:rsidR="0036098B" w:rsidRDefault="0036098B" w:rsidP="0036098B">
      <w:r>
        <w:t>In later years, you can probably deduct 100% of these costs in the year the assets are placed in service under the Section 179 first-year depreciation deduction privilege. However, Sec. 179 deductions are subject to several limitations.</w:t>
      </w:r>
    </w:p>
    <w:p w14:paraId="0DBD4055" w14:textId="28B0F2BD" w:rsidR="0036098B" w:rsidRDefault="0036098B" w:rsidP="0036098B">
      <w:r>
        <w:t xml:space="preserve">For </w:t>
      </w:r>
      <w:r w:rsidR="0097117B">
        <w:t xml:space="preserve">the 2021 </w:t>
      </w:r>
      <w:r>
        <w:t>tax year, the maximum Sec. 179 deduction is $1.0</w:t>
      </w:r>
      <w:r w:rsidR="0097117B">
        <w:t>5</w:t>
      </w:r>
      <w:r>
        <w:t xml:space="preserve"> million, subject to a phaseout rule. Under the rule, the deduction is phased out if more than a specified amount of qualified property is placed in service during the year. The threshold amount for 202</w:t>
      </w:r>
      <w:r w:rsidR="0097117B">
        <w:t>1</w:t>
      </w:r>
      <w:r>
        <w:t xml:space="preserve"> is $2.</w:t>
      </w:r>
      <w:r w:rsidR="0097117B">
        <w:t>62</w:t>
      </w:r>
      <w:r>
        <w:t xml:space="preserve"> million.</w:t>
      </w:r>
    </w:p>
    <w:p w14:paraId="3059BDD8" w14:textId="77777777" w:rsidR="0036098B" w:rsidRDefault="0036098B" w:rsidP="0036098B">
      <w:r>
        <w:t>There’s also a taxable income limit. Under it, your Sec. 179 deduction can’t exceed your business taxable income. In other words, Sec. 179 deductions can’t create or increase an overall tax loss. However, any Sec. 179 deduction amount that you can’t immediately deduct is carried forward and can be deducted in later years (to the extent permitted by the applicable limits).</w:t>
      </w:r>
    </w:p>
    <w:p w14:paraId="67DAA7A4" w14:textId="55BD86C3" w:rsidR="0036098B" w:rsidRPr="00FA02DD" w:rsidRDefault="00FA02DD" w:rsidP="0036098B">
      <w:pPr>
        <w:rPr>
          <w:b/>
          <w:bCs/>
        </w:rPr>
      </w:pPr>
      <w:r w:rsidRPr="00FA02DD">
        <w:rPr>
          <w:b/>
          <w:bCs/>
        </w:rPr>
        <w:t>Software issues</w:t>
      </w:r>
    </w:p>
    <w:p w14:paraId="68860EAD" w14:textId="58807AB0" w:rsidR="00FA02DD" w:rsidRDefault="00FA02DD" w:rsidP="0036098B">
      <w:r>
        <w:t>Similar rules apply to off-the-shelf software</w:t>
      </w:r>
      <w:r w:rsidR="00D00DDC">
        <w:t xml:space="preserve"> that you buy for your business</w:t>
      </w:r>
      <w:r>
        <w:t>. However, software license fees are treated differently from purchased software costs for tax purposes. Payments for leased or licensed software used for your website are currently deductible as ordinary and necessary business expenses.</w:t>
      </w:r>
    </w:p>
    <w:p w14:paraId="197C3449" w14:textId="71E2C2C3" w:rsidR="0036098B" w:rsidRDefault="0036098B" w:rsidP="0036098B">
      <w:r>
        <w:t>An alternative position is that your software development costs represent currently deductible research and development costs under the tax code. To qualify for this treatment, the costs must be paid or incurred by December 31, 2022.</w:t>
      </w:r>
      <w:r w:rsidR="00D00DDC">
        <w:t xml:space="preserve"> </w:t>
      </w:r>
      <w:r>
        <w:t>A more conservative approach would be to capitalize the costs of internally developed software. Then you would depreciate them over 36 months.</w:t>
      </w:r>
    </w:p>
    <w:p w14:paraId="4CEE824D" w14:textId="77777777" w:rsidR="0036098B" w:rsidRDefault="0036098B" w:rsidP="0036098B">
      <w:r>
        <w:t>If your website is primarily for advertising, you can also currently deduct internal website software development costs as ordinary and necessary business expenses.</w:t>
      </w:r>
    </w:p>
    <w:p w14:paraId="0CDE2767" w14:textId="4FD7B5B7" w:rsidR="0036098B" w:rsidRDefault="0036098B" w:rsidP="0036098B">
      <w:r>
        <w:lastRenderedPageBreak/>
        <w:t>Are you paying a third party</w:t>
      </w:r>
      <w:r w:rsidR="00963AAA">
        <w:t xml:space="preserve"> for software to run your website? This is commonly referred to as “software as a service.”</w:t>
      </w:r>
      <w:r>
        <w:t xml:space="preserve"> In general, payments to third parties are currently deductible as ordinary and necessary business expenses.</w:t>
      </w:r>
    </w:p>
    <w:p w14:paraId="604BAD14" w14:textId="31CC7F60" w:rsidR="0036098B" w:rsidRPr="001D5455" w:rsidRDefault="001D5455" w:rsidP="0036098B">
      <w:pPr>
        <w:rPr>
          <w:b/>
          <w:bCs/>
        </w:rPr>
      </w:pPr>
      <w:r w:rsidRPr="001D5455">
        <w:rPr>
          <w:b/>
          <w:bCs/>
        </w:rPr>
        <w:t>Still important</w:t>
      </w:r>
    </w:p>
    <w:p w14:paraId="12D447D1" w14:textId="009D2C39" w:rsidR="003E6BEB" w:rsidRDefault="001D5455" w:rsidP="0036098B">
      <w:r>
        <w:t>S</w:t>
      </w:r>
      <w:r w:rsidR="00D948B9">
        <w:t xml:space="preserve">o much of business today seems to happen in virtual places other than your website </w:t>
      </w:r>
      <w:r w:rsidR="00D948B9">
        <w:rPr>
          <w:rFonts w:cs="Times New Roman"/>
        </w:rPr>
        <w:t>—</w:t>
      </w:r>
      <w:r w:rsidR="00014280">
        <w:rPr>
          <w:rFonts w:cs="Times New Roman"/>
        </w:rPr>
        <w:t xml:space="preserve"> </w:t>
      </w:r>
      <w:r w:rsidR="00BD20D7">
        <w:rPr>
          <w:rFonts w:cs="Times New Roman"/>
        </w:rPr>
        <w:t xml:space="preserve">such as </w:t>
      </w:r>
      <w:r w:rsidR="00D948B9">
        <w:t xml:space="preserve">social media, </w:t>
      </w:r>
      <w:r>
        <w:t>apps</w:t>
      </w:r>
      <w:r w:rsidR="00014280">
        <w:t xml:space="preserve"> and</w:t>
      </w:r>
      <w:r>
        <w:t xml:space="preserve"> teleconferencing calls. Nonetheless, </w:t>
      </w:r>
      <w:r>
        <w:rPr>
          <w:rFonts w:cs="Times New Roman"/>
        </w:rPr>
        <w:t xml:space="preserve">a central website where you can provide a solid overview of your company is still important. </w:t>
      </w:r>
      <w:r w:rsidR="0036098B">
        <w:t xml:space="preserve">We can </w:t>
      </w:r>
      <w:r>
        <w:t xml:space="preserve">help you </w:t>
      </w:r>
      <w:r w:rsidR="0036098B">
        <w:t xml:space="preserve">determine the appropriate </w:t>
      </w:r>
      <w:r>
        <w:t xml:space="preserve">tax </w:t>
      </w:r>
      <w:r w:rsidR="0036098B">
        <w:t>treatment of website costs.</w:t>
      </w:r>
    </w:p>
    <w:p w14:paraId="28B62701" w14:textId="5D571EDF" w:rsidR="009F3B5F" w:rsidRDefault="009F3B5F" w:rsidP="0036098B">
      <w:r>
        <w:t xml:space="preserve">© </w:t>
      </w:r>
      <w:r w:rsidRPr="00FA41E2">
        <w:rPr>
          <w:i/>
          <w:iCs/>
        </w:rPr>
        <w:t>2021</w:t>
      </w:r>
    </w:p>
    <w:sectPr w:rsidR="009F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B"/>
    <w:rsid w:val="00014280"/>
    <w:rsid w:val="0009089D"/>
    <w:rsid w:val="001D5455"/>
    <w:rsid w:val="00261D67"/>
    <w:rsid w:val="00315364"/>
    <w:rsid w:val="0036098B"/>
    <w:rsid w:val="003B4433"/>
    <w:rsid w:val="003E6BEB"/>
    <w:rsid w:val="0044162C"/>
    <w:rsid w:val="004C0E4D"/>
    <w:rsid w:val="00511140"/>
    <w:rsid w:val="00567A1D"/>
    <w:rsid w:val="006430AD"/>
    <w:rsid w:val="00674AC8"/>
    <w:rsid w:val="00680387"/>
    <w:rsid w:val="007E0B32"/>
    <w:rsid w:val="0086634A"/>
    <w:rsid w:val="008E720E"/>
    <w:rsid w:val="00963AAA"/>
    <w:rsid w:val="0097117B"/>
    <w:rsid w:val="009F3B5F"/>
    <w:rsid w:val="00A04D47"/>
    <w:rsid w:val="00BB424E"/>
    <w:rsid w:val="00BD20D7"/>
    <w:rsid w:val="00C84286"/>
    <w:rsid w:val="00CD5D46"/>
    <w:rsid w:val="00D00DDC"/>
    <w:rsid w:val="00D8717D"/>
    <w:rsid w:val="00D948B9"/>
    <w:rsid w:val="00DB6700"/>
    <w:rsid w:val="00FA02DD"/>
    <w:rsid w:val="00FD40B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A8FA"/>
  <w15:chartTrackingRefBased/>
  <w15:docId w15:val="{63E31CB9-43B1-401C-A6DA-5DE50BCA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717D"/>
    <w:rPr>
      <w:sz w:val="16"/>
      <w:szCs w:val="16"/>
    </w:rPr>
  </w:style>
  <w:style w:type="paragraph" w:styleId="CommentText">
    <w:name w:val="annotation text"/>
    <w:basedOn w:val="Normal"/>
    <w:link w:val="CommentTextChar"/>
    <w:uiPriority w:val="99"/>
    <w:semiHidden/>
    <w:unhideWhenUsed/>
    <w:rsid w:val="00D8717D"/>
    <w:pPr>
      <w:spacing w:line="240" w:lineRule="auto"/>
    </w:pPr>
    <w:rPr>
      <w:sz w:val="20"/>
      <w:szCs w:val="20"/>
    </w:rPr>
  </w:style>
  <w:style w:type="character" w:customStyle="1" w:styleId="CommentTextChar">
    <w:name w:val="Comment Text Char"/>
    <w:basedOn w:val="DefaultParagraphFont"/>
    <w:link w:val="CommentText"/>
    <w:uiPriority w:val="99"/>
    <w:semiHidden/>
    <w:rsid w:val="00D871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717D"/>
    <w:rPr>
      <w:b/>
      <w:bCs/>
    </w:rPr>
  </w:style>
  <w:style w:type="character" w:customStyle="1" w:styleId="CommentSubjectChar">
    <w:name w:val="Comment Subject Char"/>
    <w:basedOn w:val="CommentTextChar"/>
    <w:link w:val="CommentSubject"/>
    <w:uiPriority w:val="99"/>
    <w:semiHidden/>
    <w:rsid w:val="00D8717D"/>
    <w:rPr>
      <w:rFonts w:ascii="Times New Roman" w:hAnsi="Times New Roman"/>
      <w:b/>
      <w:bCs/>
      <w:sz w:val="20"/>
      <w:szCs w:val="20"/>
    </w:rPr>
  </w:style>
  <w:style w:type="paragraph" w:styleId="BalloonText">
    <w:name w:val="Balloon Text"/>
    <w:basedOn w:val="Normal"/>
    <w:link w:val="BalloonTextChar"/>
    <w:uiPriority w:val="99"/>
    <w:semiHidden/>
    <w:unhideWhenUsed/>
    <w:rsid w:val="00D8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16A9C2-4A67-4199-BAFE-1FA98772BDEA}">
  <ds:schemaRefs>
    <ds:schemaRef ds:uri="http://schemas.microsoft.com/office/2006/documentManagement/types"/>
    <ds:schemaRef ds:uri="5780ff4a-8397-4f78-a7bb-31364ea346f1"/>
    <ds:schemaRef ds:uri="http://schemas.microsoft.com/office/2006/metadata/properties"/>
    <ds:schemaRef ds:uri="http://schemas.microsoft.com/office/infopath/2007/PartnerControls"/>
    <ds:schemaRef ds:uri="http://www.w3.org/XML/1998/namespace"/>
    <ds:schemaRef ds:uri="3f3b3382-7005-45e0-adac-ca66d19e4502"/>
    <ds:schemaRef ds:uri="http://purl.org/dc/term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E29A81A7-41AF-4D5E-B689-753AEC1735CC}">
  <ds:schemaRefs>
    <ds:schemaRef ds:uri="http://schemas.microsoft.com/sharepoint/v3/contenttype/forms"/>
  </ds:schemaRefs>
</ds:datastoreItem>
</file>

<file path=customXml/itemProps3.xml><?xml version="1.0" encoding="utf-8"?>
<ds:datastoreItem xmlns:ds="http://schemas.openxmlformats.org/officeDocument/2006/customXml" ds:itemID="{FBB72DD9-7051-4D89-A1E7-6EA93E02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2021-07-15T20:56:00Z</dcterms:created>
  <dcterms:modified xsi:type="dcterms:W3CDTF">2021-07-15T20:56:00Z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